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CB6" w:rsidRPr="00BB5A38" w:rsidRDefault="00930CB6" w:rsidP="00264770">
      <w:pPr>
        <w:pStyle w:val="Heading5"/>
        <w:spacing w:before="120" w:beforeAutospacing="0" w:after="120" w:afterAutospacing="0"/>
        <w:rPr>
          <w:sz w:val="22"/>
          <w:szCs w:val="22"/>
        </w:rPr>
      </w:pPr>
      <w:r w:rsidRPr="00BB5A38">
        <w:rPr>
          <w:sz w:val="22"/>
          <w:szCs w:val="22"/>
        </w:rPr>
        <w:t>Federal Regulations Adopted by Reference</w:t>
      </w:r>
    </w:p>
    <w:p w:rsidR="00263352" w:rsidRPr="00BB5A38" w:rsidRDefault="00930CB6" w:rsidP="00264770">
      <w:pPr>
        <w:pStyle w:val="Heading5"/>
        <w:spacing w:before="120" w:beforeAutospacing="0" w:after="0" w:afterAutospacing="0"/>
        <w:rPr>
          <w:b w:val="0"/>
          <w:sz w:val="22"/>
          <w:szCs w:val="22"/>
        </w:rPr>
      </w:pPr>
      <w:r w:rsidRPr="00BB5A38">
        <w:rPr>
          <w:b w:val="0"/>
          <w:sz w:val="22"/>
          <w:szCs w:val="22"/>
        </w:rPr>
        <w:t>In accordance with Rule 62-204.800, F.A.C., the following federal regulation in Title 40 of the Code of Federal Regulations (CFR) was adopted by reference.  The original federal rule numbering has been retained.</w:t>
      </w:r>
    </w:p>
    <w:p w:rsidR="00BE2C85" w:rsidRPr="00930CB6" w:rsidRDefault="00BE2C85" w:rsidP="00264770">
      <w:pPr>
        <w:pStyle w:val="Heading5"/>
        <w:tabs>
          <w:tab w:val="left" w:pos="1965"/>
        </w:tabs>
        <w:spacing w:before="0" w:beforeAutospacing="0" w:after="0" w:afterAutospacing="0"/>
        <w:rPr>
          <w:b w:val="0"/>
        </w:rPr>
      </w:pPr>
    </w:p>
    <w:p w:rsidR="00263352" w:rsidRPr="003A4CC2" w:rsidRDefault="00264770" w:rsidP="00264770">
      <w:pPr>
        <w:pStyle w:val="Heading5"/>
        <w:spacing w:before="120" w:beforeAutospacing="0" w:after="120" w:afterAutospacing="0"/>
        <w:rPr>
          <w:b w:val="0"/>
          <w:i/>
          <w:sz w:val="22"/>
          <w:szCs w:val="22"/>
        </w:rPr>
      </w:pPr>
      <w:r w:rsidRPr="003A4CC2">
        <w:rPr>
          <w:b w:val="0"/>
          <w:i/>
          <w:sz w:val="22"/>
          <w:szCs w:val="22"/>
        </w:rPr>
        <w:t>Fe</w:t>
      </w:r>
      <w:r w:rsidR="003A4CC2" w:rsidRPr="003A4CC2">
        <w:rPr>
          <w:b w:val="0"/>
          <w:i/>
          <w:sz w:val="22"/>
          <w:szCs w:val="22"/>
        </w:rPr>
        <w:t>deral Revision Date:  February 27, 2014</w:t>
      </w:r>
    </w:p>
    <w:p w:rsidR="00F938D7" w:rsidRPr="003A4CC2" w:rsidRDefault="003A4CC2" w:rsidP="003A4CC2">
      <w:pPr>
        <w:spacing w:before="120"/>
        <w:jc w:val="left"/>
        <w:outlineLvl w:val="4"/>
        <w:rPr>
          <w:rFonts w:ascii="Times New Roman" w:hAnsi="Times New Roman"/>
          <w:b/>
        </w:rPr>
      </w:pPr>
      <w:r w:rsidRPr="003A4CC2">
        <w:rPr>
          <w:rFonts w:ascii="Times New Roman" w:hAnsi="Times New Roman"/>
          <w:b/>
        </w:rPr>
        <w:t>40 CFR</w:t>
      </w:r>
      <w:r w:rsidR="00930CB6" w:rsidRPr="003A4CC2">
        <w:rPr>
          <w:rFonts w:ascii="Times New Roman" w:hAnsi="Times New Roman"/>
          <w:b/>
        </w:rPr>
        <w:t xml:space="preserve"> </w:t>
      </w:r>
      <w:r w:rsidR="00264770" w:rsidRPr="003A4CC2">
        <w:rPr>
          <w:rFonts w:ascii="Times New Roman" w:hAnsi="Times New Roman"/>
          <w:b/>
        </w:rPr>
        <w:t>61</w:t>
      </w:r>
      <w:r w:rsidR="00930CB6" w:rsidRPr="003A4CC2">
        <w:rPr>
          <w:rFonts w:ascii="Times New Roman" w:hAnsi="Times New Roman"/>
          <w:b/>
        </w:rPr>
        <w:t xml:space="preserve"> Subpart </w:t>
      </w:r>
      <w:r w:rsidR="00264770" w:rsidRPr="003A4CC2">
        <w:rPr>
          <w:rFonts w:ascii="Times New Roman" w:hAnsi="Times New Roman"/>
          <w:b/>
        </w:rPr>
        <w:t>C</w:t>
      </w:r>
      <w:r w:rsidRPr="003A4CC2">
        <w:rPr>
          <w:rFonts w:ascii="Times New Roman" w:hAnsi="Times New Roman"/>
          <w:b/>
        </w:rPr>
        <w:t xml:space="preserve"> – National Emission Standard for Beryllium</w:t>
      </w:r>
    </w:p>
    <w:p w:rsidR="004D5DB5" w:rsidRPr="00D465E2" w:rsidRDefault="004D5DB5" w:rsidP="00264770">
      <w:pPr>
        <w:jc w:val="left"/>
        <w:rPr>
          <w:rFonts w:ascii="Arial" w:eastAsia="Times New Roman" w:hAnsi="Arial" w:cs="Arial"/>
          <w:sz w:val="20"/>
          <w:szCs w:val="20"/>
        </w:rPr>
      </w:pPr>
    </w:p>
    <w:p w:rsidR="004D5DB5" w:rsidRPr="00550AEB" w:rsidRDefault="004D5DB5" w:rsidP="00264770">
      <w:pPr>
        <w:jc w:val="left"/>
        <w:rPr>
          <w:rFonts w:ascii="Times New Roman" w:eastAsia="Times New Roman" w:hAnsi="Times New Roman"/>
        </w:rPr>
      </w:pPr>
      <w:r w:rsidRPr="00D465E2">
        <w:rPr>
          <w:rFonts w:ascii="Arial" w:eastAsia="Times New Roman" w:hAnsi="Arial" w:cs="Arial"/>
          <w:b/>
          <w:bCs/>
          <w:sz w:val="20"/>
          <w:szCs w:val="20"/>
        </w:rPr>
        <w:t>Contents</w:t>
      </w:r>
      <w:r w:rsidRPr="00D465E2">
        <w:rPr>
          <w:rFonts w:ascii="Arial" w:eastAsia="Times New Roman" w:hAnsi="Arial" w:cs="Arial"/>
          <w:sz w:val="20"/>
          <w:szCs w:val="20"/>
        </w:rPr>
        <w:br/>
      </w:r>
      <w:hyperlink r:id="rId6" w:anchor="40:9.0.1.1.1.3.1.1" w:history="1">
        <w:r w:rsidRPr="00550AEB">
          <w:rPr>
            <w:rFonts w:ascii="Times New Roman" w:eastAsia="Times New Roman" w:hAnsi="Times New Roman"/>
          </w:rPr>
          <w:t>§61.30   Applicability.</w:t>
        </w:r>
      </w:hyperlink>
      <w:r w:rsidRPr="00550AEB">
        <w:rPr>
          <w:rFonts w:ascii="Times New Roman" w:eastAsia="Times New Roman" w:hAnsi="Times New Roman"/>
        </w:rPr>
        <w:br/>
      </w:r>
      <w:hyperlink r:id="rId7" w:anchor="40:9.0.1.1.1.3.1.2" w:history="1">
        <w:r w:rsidRPr="00550AEB">
          <w:rPr>
            <w:rFonts w:ascii="Times New Roman" w:eastAsia="Times New Roman" w:hAnsi="Times New Roman"/>
          </w:rPr>
          <w:t>§61.31   Definitions.</w:t>
        </w:r>
      </w:hyperlink>
      <w:r w:rsidRPr="00550AEB">
        <w:rPr>
          <w:rFonts w:ascii="Times New Roman" w:eastAsia="Times New Roman" w:hAnsi="Times New Roman"/>
        </w:rPr>
        <w:br/>
      </w:r>
      <w:hyperlink r:id="rId8" w:anchor="40:9.0.1.1.1.3.1.3" w:history="1">
        <w:r w:rsidRPr="00550AEB">
          <w:rPr>
            <w:rFonts w:ascii="Times New Roman" w:eastAsia="Times New Roman" w:hAnsi="Times New Roman"/>
          </w:rPr>
          <w:t>§61.32   Emission standard.</w:t>
        </w:r>
      </w:hyperlink>
      <w:r w:rsidRPr="00550AEB">
        <w:rPr>
          <w:rFonts w:ascii="Times New Roman" w:eastAsia="Times New Roman" w:hAnsi="Times New Roman"/>
        </w:rPr>
        <w:br/>
      </w:r>
      <w:hyperlink r:id="rId9" w:anchor="40:9.0.1.1.1.3.1.4" w:history="1">
        <w:r w:rsidRPr="00550AEB">
          <w:rPr>
            <w:rFonts w:ascii="Times New Roman" w:eastAsia="Times New Roman" w:hAnsi="Times New Roman"/>
          </w:rPr>
          <w:t>§61.33   Stack sampling.</w:t>
        </w:r>
      </w:hyperlink>
      <w:r w:rsidRPr="00550AEB">
        <w:rPr>
          <w:rFonts w:ascii="Times New Roman" w:eastAsia="Times New Roman" w:hAnsi="Times New Roman"/>
        </w:rPr>
        <w:br/>
      </w:r>
      <w:hyperlink r:id="rId10" w:anchor="40:9.0.1.1.1.3.1.5" w:history="1">
        <w:r w:rsidRPr="00550AEB">
          <w:rPr>
            <w:rFonts w:ascii="Times New Roman" w:eastAsia="Times New Roman" w:hAnsi="Times New Roman"/>
          </w:rPr>
          <w:t>§61.34   Air sampling.</w:t>
        </w:r>
      </w:hyperlink>
    </w:p>
    <w:p w:rsidR="004D5DB5" w:rsidRDefault="004D5DB5" w:rsidP="00264770">
      <w:pPr>
        <w:jc w:val="left"/>
        <w:rPr>
          <w:rFonts w:ascii="Arial" w:eastAsia="Times New Roman" w:hAnsi="Arial" w:cs="Arial"/>
          <w:sz w:val="20"/>
          <w:szCs w:val="20"/>
        </w:rPr>
      </w:pPr>
    </w:p>
    <w:p w:rsidR="00625B28" w:rsidRPr="00625B28" w:rsidRDefault="00625B28" w:rsidP="00264770">
      <w:pPr>
        <w:jc w:val="left"/>
        <w:rPr>
          <w:rFonts w:ascii="Times New Roman" w:eastAsia="Times New Roman" w:hAnsi="Times New Roman"/>
        </w:rPr>
      </w:pPr>
      <w:r>
        <w:rPr>
          <w:rFonts w:ascii="Times New Roman" w:eastAsia="Times New Roman" w:hAnsi="Times New Roman"/>
        </w:rPr>
        <w:tab/>
        <w:t>SOURCE: 38 FR 8826, Apr. 6, 1973, unless otherwise noted.</w:t>
      </w:r>
      <w:bookmarkStart w:id="0" w:name="_GoBack"/>
      <w:bookmarkEnd w:id="0"/>
    </w:p>
    <w:p w:rsidR="004D5DB5" w:rsidRPr="00BB5A38" w:rsidRDefault="004D5DB5" w:rsidP="00264770">
      <w:pPr>
        <w:spacing w:before="200" w:after="100"/>
        <w:jc w:val="left"/>
        <w:outlineLvl w:val="1"/>
        <w:rPr>
          <w:rFonts w:ascii="Times New Roman" w:eastAsia="Times New Roman" w:hAnsi="Times New Roman"/>
          <w:b/>
          <w:bCs/>
        </w:rPr>
      </w:pPr>
      <w:bookmarkStart w:id="1" w:name="40:9.0.1.1.1.3.1.1"/>
      <w:bookmarkEnd w:id="1"/>
      <w:r w:rsidRPr="00BB5A38">
        <w:rPr>
          <w:rFonts w:ascii="Times New Roman" w:eastAsia="Times New Roman" w:hAnsi="Times New Roman"/>
          <w:b/>
          <w:bCs/>
        </w:rPr>
        <w:t>§61.30   Applicability.</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The provisions of this subpart are applicable to the following stationary sources: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(a) Extraction plants, ceramic plants, foundries, incinerators, and propellant plants which process beryllium ore, beryllium, beryllium oxide, beryllium alloys, or beryllium-containing waste.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(b) Machine shops which process beryllium, beryllium oxides, or any alloy when such alloy contains more than 5 percent beryllium by weight. </w:t>
      </w:r>
    </w:p>
    <w:p w:rsidR="004D5DB5" w:rsidRPr="00BB5A38" w:rsidRDefault="004D5DB5" w:rsidP="00264770">
      <w:pPr>
        <w:spacing w:before="200" w:after="100" w:afterAutospacing="1"/>
        <w:jc w:val="left"/>
        <w:rPr>
          <w:rFonts w:ascii="Times New Roman" w:eastAsia="Times New Roman" w:hAnsi="Times New Roman"/>
        </w:rPr>
      </w:pPr>
      <w:r w:rsidRPr="00BB5A38">
        <w:rPr>
          <w:rFonts w:ascii="Times New Roman" w:eastAsia="Times New Roman" w:hAnsi="Times New Roman"/>
        </w:rPr>
        <w:t>[38 FR 8826, Apr. 6, 1973, as amended at 65 FR 62151, Oct. 17, 2000]</w:t>
      </w:r>
    </w:p>
    <w:p w:rsidR="004D5DB5" w:rsidRPr="00BB5A38" w:rsidRDefault="004D5DB5" w:rsidP="00264770">
      <w:pPr>
        <w:spacing w:before="200" w:after="100"/>
        <w:jc w:val="left"/>
        <w:outlineLvl w:val="1"/>
        <w:rPr>
          <w:rFonts w:ascii="Times New Roman" w:eastAsia="Times New Roman" w:hAnsi="Times New Roman"/>
          <w:b/>
          <w:bCs/>
        </w:rPr>
      </w:pPr>
      <w:bookmarkStart w:id="2" w:name="40:9.0.1.1.1.3.1.2"/>
      <w:bookmarkEnd w:id="2"/>
      <w:r w:rsidRPr="00BB5A38">
        <w:rPr>
          <w:rFonts w:ascii="Times New Roman" w:eastAsia="Times New Roman" w:hAnsi="Times New Roman"/>
          <w:b/>
          <w:bCs/>
        </w:rPr>
        <w:t>§61.31   Definitions.</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Terms used in this subpart are defined in the act, in subpart A of this part, or in this section as follows: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(a) </w:t>
      </w:r>
      <w:r w:rsidRPr="00BB5A38">
        <w:rPr>
          <w:rFonts w:ascii="Times New Roman" w:eastAsia="Times New Roman" w:hAnsi="Times New Roman"/>
          <w:i/>
          <w:iCs/>
        </w:rPr>
        <w:t>Beryllium</w:t>
      </w:r>
      <w:r w:rsidRPr="00BB5A38">
        <w:rPr>
          <w:rFonts w:ascii="Times New Roman" w:eastAsia="Times New Roman" w:hAnsi="Times New Roman"/>
        </w:rPr>
        <w:t xml:space="preserve"> means the element beryllium. Where weights or concentrations are specified, such weights or concentrations apply to beryllium only, excluding the weight or concentration of any associated elements.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(b) </w:t>
      </w:r>
      <w:r w:rsidRPr="00BB5A38">
        <w:rPr>
          <w:rFonts w:ascii="Times New Roman" w:eastAsia="Times New Roman" w:hAnsi="Times New Roman"/>
          <w:i/>
          <w:iCs/>
        </w:rPr>
        <w:t>Extraction plant</w:t>
      </w:r>
      <w:r w:rsidRPr="00BB5A38">
        <w:rPr>
          <w:rFonts w:ascii="Times New Roman" w:eastAsia="Times New Roman" w:hAnsi="Times New Roman"/>
        </w:rPr>
        <w:t xml:space="preserve"> means a facility chemically processing beryllium ore to beryllium metal, alloy, or oxide, or performing any of the intermediate steps in these processes.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(c) </w:t>
      </w:r>
      <w:r w:rsidRPr="00BB5A38">
        <w:rPr>
          <w:rFonts w:ascii="Times New Roman" w:eastAsia="Times New Roman" w:hAnsi="Times New Roman"/>
          <w:i/>
          <w:iCs/>
        </w:rPr>
        <w:t>Beryllium ore</w:t>
      </w:r>
      <w:r w:rsidRPr="00BB5A38">
        <w:rPr>
          <w:rFonts w:ascii="Times New Roman" w:eastAsia="Times New Roman" w:hAnsi="Times New Roman"/>
        </w:rPr>
        <w:t xml:space="preserve"> means any naturally occurring material mined or gathered for its beryllium content.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(d) </w:t>
      </w:r>
      <w:r w:rsidRPr="00BB5A38">
        <w:rPr>
          <w:rFonts w:ascii="Times New Roman" w:eastAsia="Times New Roman" w:hAnsi="Times New Roman"/>
          <w:i/>
          <w:iCs/>
        </w:rPr>
        <w:t>Machine shop</w:t>
      </w:r>
      <w:r w:rsidRPr="00BB5A38">
        <w:rPr>
          <w:rFonts w:ascii="Times New Roman" w:eastAsia="Times New Roman" w:hAnsi="Times New Roman"/>
        </w:rPr>
        <w:t xml:space="preserve"> means a facility performing cutting, grinding, turning, honing, milling, deburring, lapping, electrochemical machining, etching, or other similar operations.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(e) </w:t>
      </w:r>
      <w:r w:rsidRPr="00BB5A38">
        <w:rPr>
          <w:rFonts w:ascii="Times New Roman" w:eastAsia="Times New Roman" w:hAnsi="Times New Roman"/>
          <w:i/>
          <w:iCs/>
        </w:rPr>
        <w:t>Ceramic plant</w:t>
      </w:r>
      <w:r w:rsidRPr="00BB5A38">
        <w:rPr>
          <w:rFonts w:ascii="Times New Roman" w:eastAsia="Times New Roman" w:hAnsi="Times New Roman"/>
        </w:rPr>
        <w:t xml:space="preserve"> means a manufacturing plant producing ceramic items.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(f) </w:t>
      </w:r>
      <w:r w:rsidRPr="00BB5A38">
        <w:rPr>
          <w:rFonts w:ascii="Times New Roman" w:eastAsia="Times New Roman" w:hAnsi="Times New Roman"/>
          <w:i/>
          <w:iCs/>
        </w:rPr>
        <w:t>Foundry</w:t>
      </w:r>
      <w:r w:rsidRPr="00BB5A38">
        <w:rPr>
          <w:rFonts w:ascii="Times New Roman" w:eastAsia="Times New Roman" w:hAnsi="Times New Roman"/>
        </w:rPr>
        <w:t xml:space="preserve"> means a facility engaged in the melting or casting of beryllium metal or alloy.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(g) </w:t>
      </w:r>
      <w:r w:rsidRPr="00BB5A38">
        <w:rPr>
          <w:rFonts w:ascii="Times New Roman" w:eastAsia="Times New Roman" w:hAnsi="Times New Roman"/>
          <w:i/>
          <w:iCs/>
        </w:rPr>
        <w:t>Beryllium-containing waste</w:t>
      </w:r>
      <w:r w:rsidRPr="00BB5A38">
        <w:rPr>
          <w:rFonts w:ascii="Times New Roman" w:eastAsia="Times New Roman" w:hAnsi="Times New Roman"/>
        </w:rPr>
        <w:t xml:space="preserve"> means material contaminated with beryllium and/or beryllium compounds used or generated during any process or operation performed by a source subject to this subpart.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lastRenderedPageBreak/>
        <w:t xml:space="preserve">(h) </w:t>
      </w:r>
      <w:r w:rsidRPr="00BB5A38">
        <w:rPr>
          <w:rFonts w:ascii="Times New Roman" w:eastAsia="Times New Roman" w:hAnsi="Times New Roman"/>
          <w:i/>
          <w:iCs/>
        </w:rPr>
        <w:t>Incinerator</w:t>
      </w:r>
      <w:r w:rsidRPr="00BB5A38">
        <w:rPr>
          <w:rFonts w:ascii="Times New Roman" w:eastAsia="Times New Roman" w:hAnsi="Times New Roman"/>
        </w:rPr>
        <w:t xml:space="preserve"> means any furnace used in the process of burning waste for the primary purpose of reducing the volume of the waste by removing combustible matter.</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(i) </w:t>
      </w:r>
      <w:r w:rsidRPr="00BB5A38">
        <w:rPr>
          <w:rFonts w:ascii="Times New Roman" w:eastAsia="Times New Roman" w:hAnsi="Times New Roman"/>
          <w:i/>
          <w:iCs/>
        </w:rPr>
        <w:t>Propellant</w:t>
      </w:r>
      <w:r w:rsidRPr="00BB5A38">
        <w:rPr>
          <w:rFonts w:ascii="Times New Roman" w:eastAsia="Times New Roman" w:hAnsi="Times New Roman"/>
        </w:rPr>
        <w:t xml:space="preserve"> means a fuel and oxidizer physically or chemically combined which undergoes combustion to provide rocket propulsion.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(j) </w:t>
      </w:r>
      <w:r w:rsidRPr="00BB5A38">
        <w:rPr>
          <w:rFonts w:ascii="Times New Roman" w:eastAsia="Times New Roman" w:hAnsi="Times New Roman"/>
          <w:i/>
          <w:iCs/>
        </w:rPr>
        <w:t>Beryllium alloy</w:t>
      </w:r>
      <w:r w:rsidRPr="00BB5A38">
        <w:rPr>
          <w:rFonts w:ascii="Times New Roman" w:eastAsia="Times New Roman" w:hAnsi="Times New Roman"/>
        </w:rPr>
        <w:t xml:space="preserve"> means any metal to which beryllium has been added in order to increase its beryllium content and which contains more than 0.1 percent beryllium by weight.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(k) </w:t>
      </w:r>
      <w:r w:rsidRPr="00BB5A38">
        <w:rPr>
          <w:rFonts w:ascii="Times New Roman" w:eastAsia="Times New Roman" w:hAnsi="Times New Roman"/>
          <w:i/>
          <w:iCs/>
        </w:rPr>
        <w:t>Propellant plant</w:t>
      </w:r>
      <w:r w:rsidRPr="00BB5A38">
        <w:rPr>
          <w:rFonts w:ascii="Times New Roman" w:eastAsia="Times New Roman" w:hAnsi="Times New Roman"/>
        </w:rPr>
        <w:t xml:space="preserve"> means any facility engaged in the mixing, casting, or machining of propellant. </w:t>
      </w:r>
    </w:p>
    <w:p w:rsidR="004D5DB5" w:rsidRPr="00BB5A38" w:rsidRDefault="004D5DB5" w:rsidP="00264770">
      <w:pPr>
        <w:spacing w:before="200" w:after="100"/>
        <w:jc w:val="left"/>
        <w:outlineLvl w:val="1"/>
        <w:rPr>
          <w:rFonts w:ascii="Times New Roman" w:eastAsia="Times New Roman" w:hAnsi="Times New Roman"/>
          <w:b/>
          <w:bCs/>
        </w:rPr>
      </w:pPr>
      <w:bookmarkStart w:id="3" w:name="40:9.0.1.1.1.3.1.3"/>
      <w:bookmarkEnd w:id="3"/>
      <w:r w:rsidRPr="00BB5A38">
        <w:rPr>
          <w:rFonts w:ascii="Times New Roman" w:eastAsia="Times New Roman" w:hAnsi="Times New Roman"/>
          <w:b/>
          <w:bCs/>
        </w:rPr>
        <w:t>§61.32   Emission standard.</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(a) Emissions to the atmosphere from stationary sources subject to the provisions of this subpart shall not exceed 10 grams (0.022 lb) of beryllium over a 24-hour period, except as provided in paragraph (b) of this section.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(b) Rather than meet the requirement of paragraph (a) of this section, an owner or operator may request approval from the Administrator to meet an ambient concentration limit on beryllium in the vicinity of the stationary source of 0.01 µg/m</w:t>
      </w:r>
      <w:r w:rsidRPr="00BB5A38">
        <w:rPr>
          <w:rFonts w:ascii="Times New Roman" w:eastAsia="Times New Roman" w:hAnsi="Times New Roman"/>
          <w:vertAlign w:val="superscript"/>
        </w:rPr>
        <w:t>3</w:t>
      </w:r>
      <w:r w:rsidRPr="00BB5A38">
        <w:rPr>
          <w:rFonts w:ascii="Times New Roman" w:eastAsia="Times New Roman" w:hAnsi="Times New Roman"/>
        </w:rPr>
        <w:t xml:space="preserve"> (4.37×10</w:t>
      </w:r>
      <w:r w:rsidRPr="00BB5A38">
        <w:rPr>
          <w:rFonts w:ascii="Times New Roman" w:eastAsia="Times New Roman" w:hAnsi="Times New Roman"/>
          <w:vertAlign w:val="superscript"/>
        </w:rPr>
        <w:t>−6</w:t>
      </w:r>
      <w:r w:rsidRPr="00BB5A38">
        <w:rPr>
          <w:rFonts w:ascii="Times New Roman" w:eastAsia="Times New Roman" w:hAnsi="Times New Roman"/>
        </w:rPr>
        <w:t xml:space="preserve"> gr/ft</w:t>
      </w:r>
      <w:r w:rsidRPr="00BB5A38">
        <w:rPr>
          <w:rFonts w:ascii="Times New Roman" w:eastAsia="Times New Roman" w:hAnsi="Times New Roman"/>
          <w:vertAlign w:val="superscript"/>
        </w:rPr>
        <w:t>3</w:t>
      </w:r>
      <w:r w:rsidRPr="00BB5A38">
        <w:rPr>
          <w:rFonts w:ascii="Times New Roman" w:eastAsia="Times New Roman" w:hAnsi="Times New Roman"/>
        </w:rPr>
        <w:t xml:space="preserve">), averaged over a 30-day period.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(1) Approval of such requests may be granted by the Administrator provided that: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(i) At least 3 years of data is available which in the judgment of the Administrator demonstrates that the future ambient concentrations of beryllium in the vicinity of the stationary source will not exceed 0.01 µg/m</w:t>
      </w:r>
      <w:r w:rsidRPr="00BB5A38">
        <w:rPr>
          <w:rFonts w:ascii="Times New Roman" w:eastAsia="Times New Roman" w:hAnsi="Times New Roman"/>
          <w:vertAlign w:val="superscript"/>
        </w:rPr>
        <w:t>3</w:t>
      </w:r>
      <w:r w:rsidRPr="00BB5A38">
        <w:rPr>
          <w:rFonts w:ascii="Times New Roman" w:eastAsia="Times New Roman" w:hAnsi="Times New Roman"/>
        </w:rPr>
        <w:t xml:space="preserve"> (4.37×10</w:t>
      </w:r>
      <w:r w:rsidRPr="00BB5A38">
        <w:rPr>
          <w:rFonts w:ascii="Times New Roman" w:eastAsia="Times New Roman" w:hAnsi="Times New Roman"/>
          <w:vertAlign w:val="superscript"/>
        </w:rPr>
        <w:t>−6</w:t>
      </w:r>
      <w:r w:rsidRPr="00BB5A38">
        <w:rPr>
          <w:rFonts w:ascii="Times New Roman" w:eastAsia="Times New Roman" w:hAnsi="Times New Roman"/>
        </w:rPr>
        <w:t xml:space="preserve"> gr/ft</w:t>
      </w:r>
      <w:r w:rsidRPr="00BB5A38">
        <w:rPr>
          <w:rFonts w:ascii="Times New Roman" w:eastAsia="Times New Roman" w:hAnsi="Times New Roman"/>
          <w:vertAlign w:val="superscript"/>
        </w:rPr>
        <w:t>3</w:t>
      </w:r>
      <w:r w:rsidRPr="00BB5A38">
        <w:rPr>
          <w:rFonts w:ascii="Times New Roman" w:eastAsia="Times New Roman" w:hAnsi="Times New Roman"/>
        </w:rPr>
        <w:t>), averaged over a 30-day period. Such 3-year period shall be the 3 years ending 30 days before the effective date of this standard.</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(ii) The owner or operator requests such approval in writing within 30 days after the effective date of this standard.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(iii) The owner or operator submits a report to the Administrator within 45 days after the effective date of this standard which report includes the following information: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a</w:t>
      </w:r>
      <w:r w:rsidRPr="00BB5A38">
        <w:rPr>
          <w:rFonts w:ascii="Times New Roman" w:eastAsia="Times New Roman" w:hAnsi="Times New Roman"/>
        </w:rPr>
        <w:t xml:space="preserve">) Description of sampling method including the method and frequency of calibration.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b</w:t>
      </w:r>
      <w:r w:rsidRPr="00BB5A38">
        <w:rPr>
          <w:rFonts w:ascii="Times New Roman" w:eastAsia="Times New Roman" w:hAnsi="Times New Roman"/>
        </w:rPr>
        <w:t xml:space="preserve">) Method of sample analysis.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c</w:t>
      </w:r>
      <w:r w:rsidRPr="00BB5A38">
        <w:rPr>
          <w:rFonts w:ascii="Times New Roman" w:eastAsia="Times New Roman" w:hAnsi="Times New Roman"/>
        </w:rPr>
        <w:t xml:space="preserve">) Averaging technique for determining 30-day average concentrations.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d</w:t>
      </w:r>
      <w:r w:rsidRPr="00BB5A38">
        <w:rPr>
          <w:rFonts w:ascii="Times New Roman" w:eastAsia="Times New Roman" w:hAnsi="Times New Roman"/>
        </w:rPr>
        <w:t xml:space="preserve">) Number, identity, and location (address, coordinates, or distance and heading from plant) of sampling sites.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e</w:t>
      </w:r>
      <w:r w:rsidRPr="00BB5A38">
        <w:rPr>
          <w:rFonts w:ascii="Times New Roman" w:eastAsia="Times New Roman" w:hAnsi="Times New Roman"/>
        </w:rPr>
        <w:t xml:space="preserve">) Ground elevations and height above ground of sampling inlets.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f</w:t>
      </w:r>
      <w:r w:rsidRPr="00BB5A38">
        <w:rPr>
          <w:rFonts w:ascii="Times New Roman" w:eastAsia="Times New Roman" w:hAnsi="Times New Roman"/>
        </w:rPr>
        <w:t xml:space="preserve">) Plant and sampling area plots showing emission points and sampling sites. Topographic features significantly affecting dispersion including plant building heights and locations shall be included.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g</w:t>
      </w:r>
      <w:r w:rsidRPr="00BB5A38">
        <w:rPr>
          <w:rFonts w:ascii="Times New Roman" w:eastAsia="Times New Roman" w:hAnsi="Times New Roman"/>
        </w:rPr>
        <w:t xml:space="preserve">) Information necessary for estimating dispersion including stack height, inside diameter, exit gas temperature, exit velocity or flow rate, and beryllium concentration.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w:t>
      </w:r>
      <w:r w:rsidRPr="00BB5A38">
        <w:rPr>
          <w:rFonts w:ascii="Times New Roman" w:eastAsia="Times New Roman" w:hAnsi="Times New Roman"/>
          <w:i/>
          <w:iCs/>
        </w:rPr>
        <w:t>h</w:t>
      </w:r>
      <w:r w:rsidRPr="00BB5A38">
        <w:rPr>
          <w:rFonts w:ascii="Times New Roman" w:eastAsia="Times New Roman" w:hAnsi="Times New Roman"/>
        </w:rPr>
        <w:t xml:space="preserve">) A description of data and procedures (methods or models) used to design the air sampling network (i.e., number and location of sampling sites).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lastRenderedPageBreak/>
        <w:t>(</w:t>
      </w:r>
      <w:r w:rsidRPr="00BB5A38">
        <w:rPr>
          <w:rFonts w:ascii="Times New Roman" w:eastAsia="Times New Roman" w:hAnsi="Times New Roman"/>
          <w:i/>
          <w:iCs/>
        </w:rPr>
        <w:t>i</w:t>
      </w:r>
      <w:r w:rsidRPr="00BB5A38">
        <w:rPr>
          <w:rFonts w:ascii="Times New Roman" w:eastAsia="Times New Roman" w:hAnsi="Times New Roman"/>
        </w:rPr>
        <w:t xml:space="preserve">) Air sampling data indicating beryllium concentrations in the vicinity of the stationary source for the 3-year period specified in paragraph (b)(1) of this section. This data shall be presented chronologically and include the beryllium concentration and location of each individual sample taken by the network and the corresponding 30-day average beryllium concentrations.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(2) Within 60 days after receiving such report, the Administrator will notify the owner or operator in writing whether approval is granted or denied. Prior to denying approval to comply with the provisions of paragraph (b) of this section, the Administrator will consult with representatives of the statutory source for which the demonstration report was submitted.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(c) The burning of beryllium and/or beryllium-containing waste, except propellants, is prohibited except in incinerators, emissions from which must comply with the standard. </w:t>
      </w:r>
    </w:p>
    <w:p w:rsidR="004D5DB5" w:rsidRPr="00BB5A38" w:rsidRDefault="004D5DB5" w:rsidP="00264770">
      <w:pPr>
        <w:spacing w:before="200" w:after="100" w:afterAutospacing="1"/>
        <w:jc w:val="left"/>
        <w:rPr>
          <w:rFonts w:ascii="Times New Roman" w:eastAsia="Times New Roman" w:hAnsi="Times New Roman"/>
        </w:rPr>
      </w:pPr>
      <w:r w:rsidRPr="00BB5A38">
        <w:rPr>
          <w:rFonts w:ascii="Times New Roman" w:eastAsia="Times New Roman" w:hAnsi="Times New Roman"/>
        </w:rPr>
        <w:t>[38 FR 8826, Apr. 6, 1973, as amended at 65 FR 62151, Oct. 17, 2000]</w:t>
      </w:r>
    </w:p>
    <w:p w:rsidR="004D5DB5" w:rsidRPr="00BB5A38" w:rsidRDefault="004D5DB5" w:rsidP="00264770">
      <w:pPr>
        <w:spacing w:before="200" w:after="100"/>
        <w:jc w:val="left"/>
        <w:outlineLvl w:val="1"/>
        <w:rPr>
          <w:rFonts w:ascii="Times New Roman" w:eastAsia="Times New Roman" w:hAnsi="Times New Roman"/>
          <w:b/>
          <w:bCs/>
        </w:rPr>
      </w:pPr>
      <w:bookmarkStart w:id="4" w:name="40:9.0.1.1.1.3.1.4"/>
      <w:bookmarkEnd w:id="4"/>
      <w:r w:rsidRPr="00BB5A38">
        <w:rPr>
          <w:rFonts w:ascii="Times New Roman" w:eastAsia="Times New Roman" w:hAnsi="Times New Roman"/>
          <w:b/>
          <w:bCs/>
        </w:rPr>
        <w:t>§61.33   Stack sampling.</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(a) Unless a waiver of emission testing is obtained under §61.13, each owner or operator required to comply with §61.32(a) shall test emissions from the source according to Method 104 of appendix B to this part or according to Method 29 of appendix A to part 60. Method 103 of appendix B to this part is approved by the Administrator as an alternative method for sources subject to §61.32(a). The emission test shall be performed:</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(1) By May 28, 2014 in the case of an existing source or a new source which has an initial startup date preceding February 27, 2014; or</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(2) Within 90 days of startup in the case of a new source which did not have an initial startup date preceding February 27, 2014.</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(b) The Administrator shall be notified at least 30 days prior to an emission test so that he may at his option observe the test.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(c) Samples shall be taken over such a period or periods as are necessary to accurately determine the maximum emissions which will occur in any 24-hour period. Where emissions depend upon the relative frequency of operation of different types of processes, operating hours, operating capacities, or other factors, the calculation of maximum 24-hour-period emissions will be based on that combination of factors which is likely to occur during the subject period and which result in the maximum emissions. No changes in the operation shall be made, which would potentially increase emissions above that determined by the most recent source test, until a new emission level has been estimated by calculation and the results reported to the Administrator.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(d) All samples shall be analyzed and beryllium emissions shall be determined within 30 days after the source test. All determinations shall be reported to the Administrator by a registered letter dispatched before the close of the next business day following such determination.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(e) Records of emission test results and other data needed to determine total emissions shall be retained at the source and made available, for inspection by the Administrator, for a minimum of 2 years.</w:t>
      </w:r>
    </w:p>
    <w:p w:rsidR="004D5DB5" w:rsidRPr="00BB5A38" w:rsidRDefault="004D5DB5" w:rsidP="00264770">
      <w:pPr>
        <w:spacing w:before="200" w:after="100" w:afterAutospacing="1"/>
        <w:jc w:val="left"/>
        <w:rPr>
          <w:rFonts w:ascii="Times New Roman" w:eastAsia="Times New Roman" w:hAnsi="Times New Roman"/>
        </w:rPr>
      </w:pPr>
      <w:r w:rsidRPr="00BB5A38">
        <w:rPr>
          <w:rFonts w:ascii="Times New Roman" w:eastAsia="Times New Roman" w:hAnsi="Times New Roman"/>
        </w:rPr>
        <w:t>[38 FR 8826, Apr. 6, 1973, as amended at 50 FR 46294, Nov. 7, 1985; 79 FR 11275, Feb. 27, 2014]</w:t>
      </w:r>
    </w:p>
    <w:p w:rsidR="004D5DB5" w:rsidRPr="00BB5A38" w:rsidRDefault="004D5DB5" w:rsidP="00264770">
      <w:pPr>
        <w:spacing w:before="200" w:after="100"/>
        <w:jc w:val="left"/>
        <w:outlineLvl w:val="1"/>
        <w:rPr>
          <w:rFonts w:ascii="Times New Roman" w:eastAsia="Times New Roman" w:hAnsi="Times New Roman"/>
          <w:b/>
          <w:bCs/>
        </w:rPr>
      </w:pPr>
      <w:bookmarkStart w:id="5" w:name="40:9.0.1.1.1.3.1.5"/>
      <w:bookmarkEnd w:id="5"/>
      <w:r w:rsidRPr="00BB5A38">
        <w:rPr>
          <w:rFonts w:ascii="Times New Roman" w:eastAsia="Times New Roman" w:hAnsi="Times New Roman"/>
          <w:b/>
          <w:bCs/>
        </w:rPr>
        <w:t>§61.34   Air sampling.</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lastRenderedPageBreak/>
        <w:t xml:space="preserve">(a) Stationary sources subject to §61.32(b) shall locate air sampling sites in accordance with a plan approved by the Administrator. Such sites shall be located in such a manner as is calculated to detect maximum concentrations of beryllium in the ambient air.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(b) All monitoring sites shall be operated continuously except for a reasonable time allowance for instrument maintenance and calibration, for changing filters, or for replacement of equipment needing major repair.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(c) Filters shall be analyzed and concentrations calculated within 30 days after filters are collected. Records of concentrations at all sampling sites and other data needed to determine such concentrations shall be retained at the source and made available, for inspection by the Administrator, for a minimum of 2 years. </w:t>
      </w:r>
    </w:p>
    <w:p w:rsidR="004D5DB5" w:rsidRPr="00BB5A38" w:rsidRDefault="004D5DB5" w:rsidP="00264770">
      <w:pPr>
        <w:spacing w:before="100" w:beforeAutospacing="1" w:after="100" w:afterAutospacing="1"/>
        <w:ind w:firstLine="480"/>
        <w:jc w:val="left"/>
        <w:rPr>
          <w:rFonts w:ascii="Times New Roman" w:eastAsia="Times New Roman" w:hAnsi="Times New Roman"/>
        </w:rPr>
      </w:pPr>
      <w:r w:rsidRPr="00BB5A38">
        <w:rPr>
          <w:rFonts w:ascii="Times New Roman" w:eastAsia="Times New Roman" w:hAnsi="Times New Roman"/>
        </w:rPr>
        <w:t xml:space="preserve">(d) Concentrations measured at all sampling sites shall be reported to the Administrator every 30 days by a registered letter. </w:t>
      </w:r>
    </w:p>
    <w:p w:rsidR="004D5DB5" w:rsidRPr="00BB5A38" w:rsidRDefault="004D5DB5" w:rsidP="00264770">
      <w:pPr>
        <w:jc w:val="left"/>
        <w:rPr>
          <w:rFonts w:ascii="Times New Roman" w:hAnsi="Times New Roman"/>
        </w:rPr>
      </w:pPr>
      <w:r w:rsidRPr="00BB5A38">
        <w:rPr>
          <w:rFonts w:ascii="Times New Roman" w:eastAsia="Times New Roman" w:hAnsi="Times New Roman"/>
        </w:rPr>
        <w:t>(e) The Administrator may at any time require changes in, or expansion of, the sampling network.</w:t>
      </w:r>
    </w:p>
    <w:p w:rsidR="00976F54" w:rsidRPr="00BB5A38" w:rsidRDefault="00976F54" w:rsidP="00264770">
      <w:pPr>
        <w:spacing w:before="120" w:after="120"/>
        <w:jc w:val="left"/>
        <w:outlineLvl w:val="4"/>
        <w:rPr>
          <w:rFonts w:ascii="Times New Roman" w:eastAsia="Times New Roman" w:hAnsi="Times New Roman"/>
          <w:bCs/>
        </w:rPr>
      </w:pPr>
    </w:p>
    <w:sectPr w:rsidR="00976F54" w:rsidRPr="00BB5A38" w:rsidSect="006A7936">
      <w:headerReference w:type="default" r:id="rId11"/>
      <w:footerReference w:type="default" r:id="rId12"/>
      <w:pgSz w:w="12240" w:h="15840"/>
      <w:pgMar w:top="1152"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40F" w:rsidRDefault="000E040F" w:rsidP="001E72A0">
      <w:r>
        <w:separator/>
      </w:r>
    </w:p>
  </w:endnote>
  <w:endnote w:type="continuationSeparator" w:id="0">
    <w:p w:rsidR="000E040F" w:rsidRDefault="000E040F" w:rsidP="001E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F54" w:rsidRPr="006A7936" w:rsidRDefault="00976F54" w:rsidP="006A7936">
    <w:pPr>
      <w:pStyle w:val="Footer"/>
      <w:pBdr>
        <w:top w:val="single" w:sz="4" w:space="1" w:color="auto"/>
      </w:pBdr>
      <w:jc w:val="center"/>
      <w:rPr>
        <w:rFonts w:ascii="Times New Roman" w:hAnsi="Times New Roman"/>
        <w:sz w:val="20"/>
        <w:szCs w:val="20"/>
      </w:rPr>
    </w:pPr>
    <w:r w:rsidRPr="006A7936">
      <w:rPr>
        <w:rFonts w:ascii="Times New Roman" w:hAnsi="Times New Roman"/>
        <w:sz w:val="20"/>
        <w:szCs w:val="20"/>
      </w:rPr>
      <w:t xml:space="preserve">Page </w:t>
    </w:r>
    <w:r w:rsidRPr="006A7936">
      <w:rPr>
        <w:rFonts w:ascii="Times New Roman" w:hAnsi="Times New Roman"/>
        <w:sz w:val="20"/>
        <w:szCs w:val="20"/>
      </w:rPr>
      <w:fldChar w:fldCharType="begin"/>
    </w:r>
    <w:r w:rsidRPr="006A7936">
      <w:rPr>
        <w:rFonts w:ascii="Times New Roman" w:hAnsi="Times New Roman"/>
        <w:sz w:val="20"/>
        <w:szCs w:val="20"/>
      </w:rPr>
      <w:instrText xml:space="preserve"> PAGE </w:instrText>
    </w:r>
    <w:r w:rsidRPr="006A7936">
      <w:rPr>
        <w:rFonts w:ascii="Times New Roman" w:hAnsi="Times New Roman"/>
        <w:sz w:val="20"/>
        <w:szCs w:val="20"/>
      </w:rPr>
      <w:fldChar w:fldCharType="separate"/>
    </w:r>
    <w:r w:rsidR="00BC7C0B">
      <w:rPr>
        <w:rFonts w:ascii="Times New Roman" w:hAnsi="Times New Roman"/>
        <w:noProof/>
        <w:sz w:val="20"/>
        <w:szCs w:val="20"/>
      </w:rPr>
      <w:t>2</w:t>
    </w:r>
    <w:r w:rsidRPr="006A7936">
      <w:rPr>
        <w:rFonts w:ascii="Times New Roman" w:hAnsi="Times New Roman"/>
        <w:sz w:val="20"/>
        <w:szCs w:val="20"/>
      </w:rPr>
      <w:fldChar w:fldCharType="end"/>
    </w:r>
    <w:r w:rsidRPr="006A7936">
      <w:rPr>
        <w:rFonts w:ascii="Times New Roman" w:hAnsi="Times New Roman"/>
        <w:sz w:val="20"/>
        <w:szCs w:val="20"/>
      </w:rPr>
      <w:t xml:space="preserve"> of </w:t>
    </w:r>
    <w:r w:rsidRPr="006A7936">
      <w:rPr>
        <w:rFonts w:ascii="Times New Roman" w:hAnsi="Times New Roman"/>
        <w:sz w:val="20"/>
        <w:szCs w:val="20"/>
      </w:rPr>
      <w:fldChar w:fldCharType="begin"/>
    </w:r>
    <w:r w:rsidRPr="006A7936">
      <w:rPr>
        <w:rFonts w:ascii="Times New Roman" w:hAnsi="Times New Roman"/>
        <w:sz w:val="20"/>
        <w:szCs w:val="20"/>
      </w:rPr>
      <w:instrText xml:space="preserve"> NUMPAGES  </w:instrText>
    </w:r>
    <w:r w:rsidRPr="006A7936">
      <w:rPr>
        <w:rFonts w:ascii="Times New Roman" w:hAnsi="Times New Roman"/>
        <w:sz w:val="20"/>
        <w:szCs w:val="20"/>
      </w:rPr>
      <w:fldChar w:fldCharType="separate"/>
    </w:r>
    <w:r w:rsidR="00BC7C0B">
      <w:rPr>
        <w:rFonts w:ascii="Times New Roman" w:hAnsi="Times New Roman"/>
        <w:noProof/>
        <w:sz w:val="20"/>
        <w:szCs w:val="20"/>
      </w:rPr>
      <w:t>4</w:t>
    </w:r>
    <w:r w:rsidRPr="006A7936">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40F" w:rsidRDefault="000E040F" w:rsidP="001E72A0">
      <w:r>
        <w:separator/>
      </w:r>
    </w:p>
  </w:footnote>
  <w:footnote w:type="continuationSeparator" w:id="0">
    <w:p w:rsidR="000E040F" w:rsidRDefault="000E040F" w:rsidP="001E7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F54" w:rsidRPr="006A7936" w:rsidRDefault="00976F54" w:rsidP="006A7936">
    <w:pPr>
      <w:pStyle w:val="Header"/>
      <w:pBdr>
        <w:bottom w:val="single" w:sz="4" w:space="1" w:color="auto"/>
      </w:pBdr>
      <w:jc w:val="center"/>
      <w:rPr>
        <w:rFonts w:ascii="Times New Roman" w:hAnsi="Times New Roman"/>
        <w:b/>
        <w:sz w:val="20"/>
        <w:szCs w:val="20"/>
      </w:rPr>
    </w:pPr>
    <w:r w:rsidRPr="0008689B">
      <w:rPr>
        <w:rFonts w:ascii="Times New Roman" w:hAnsi="Times New Roman"/>
        <w:b/>
        <w:sz w:val="20"/>
        <w:szCs w:val="20"/>
      </w:rPr>
      <w:t xml:space="preserve">APPENDIX NESHAP 40 CFR </w:t>
    </w:r>
    <w:r w:rsidR="0008689B" w:rsidRPr="0008689B">
      <w:rPr>
        <w:rFonts w:ascii="Times New Roman" w:hAnsi="Times New Roman"/>
        <w:b/>
        <w:sz w:val="20"/>
        <w:szCs w:val="20"/>
      </w:rPr>
      <w:t>61</w:t>
    </w:r>
    <w:r w:rsidRPr="0008689B">
      <w:rPr>
        <w:rFonts w:ascii="Times New Roman" w:hAnsi="Times New Roman"/>
        <w:b/>
        <w:sz w:val="20"/>
        <w:szCs w:val="20"/>
      </w:rPr>
      <w:t xml:space="preserve"> S</w:t>
    </w:r>
    <w:r w:rsidR="0038454C" w:rsidRPr="0008689B">
      <w:rPr>
        <w:rFonts w:ascii="Times New Roman" w:hAnsi="Times New Roman"/>
        <w:b/>
        <w:sz w:val="20"/>
        <w:szCs w:val="20"/>
      </w:rPr>
      <w:t xml:space="preserve">UBPART </w:t>
    </w:r>
    <w:r w:rsidR="0008689B" w:rsidRPr="0008689B">
      <w:rPr>
        <w:rFonts w:ascii="Times New Roman" w:hAnsi="Times New Roman"/>
        <w:b/>
        <w:sz w:val="20"/>
        <w:szCs w:val="20"/>
      </w:rPr>
      <w:t>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D7"/>
    <w:rsid w:val="00017361"/>
    <w:rsid w:val="000254B7"/>
    <w:rsid w:val="00030698"/>
    <w:rsid w:val="000379B5"/>
    <w:rsid w:val="00077039"/>
    <w:rsid w:val="0008689B"/>
    <w:rsid w:val="000B3360"/>
    <w:rsid w:val="000E040F"/>
    <w:rsid w:val="001076E0"/>
    <w:rsid w:val="00115FDE"/>
    <w:rsid w:val="00121516"/>
    <w:rsid w:val="001264F8"/>
    <w:rsid w:val="001A7EC4"/>
    <w:rsid w:val="001B4742"/>
    <w:rsid w:val="001E559D"/>
    <w:rsid w:val="001E72A0"/>
    <w:rsid w:val="0021739B"/>
    <w:rsid w:val="00227D1F"/>
    <w:rsid w:val="00237DD0"/>
    <w:rsid w:val="00263352"/>
    <w:rsid w:val="00264770"/>
    <w:rsid w:val="002B02BE"/>
    <w:rsid w:val="0038454C"/>
    <w:rsid w:val="003915F7"/>
    <w:rsid w:val="003A1502"/>
    <w:rsid w:val="003A4CC2"/>
    <w:rsid w:val="0040508A"/>
    <w:rsid w:val="004D5DB5"/>
    <w:rsid w:val="004F54B5"/>
    <w:rsid w:val="00550AEB"/>
    <w:rsid w:val="00554089"/>
    <w:rsid w:val="00595762"/>
    <w:rsid w:val="005A3E96"/>
    <w:rsid w:val="005C2633"/>
    <w:rsid w:val="005D58D3"/>
    <w:rsid w:val="005E7713"/>
    <w:rsid w:val="00625B28"/>
    <w:rsid w:val="006269EB"/>
    <w:rsid w:val="006272B7"/>
    <w:rsid w:val="00633BFD"/>
    <w:rsid w:val="00635B37"/>
    <w:rsid w:val="006606F1"/>
    <w:rsid w:val="0067638A"/>
    <w:rsid w:val="006A7936"/>
    <w:rsid w:val="006F6AF7"/>
    <w:rsid w:val="00701B9D"/>
    <w:rsid w:val="007729D0"/>
    <w:rsid w:val="00794B32"/>
    <w:rsid w:val="0079779E"/>
    <w:rsid w:val="007E7A33"/>
    <w:rsid w:val="00810B06"/>
    <w:rsid w:val="00843EED"/>
    <w:rsid w:val="0086770A"/>
    <w:rsid w:val="00891B60"/>
    <w:rsid w:val="008E395C"/>
    <w:rsid w:val="008F3BFD"/>
    <w:rsid w:val="008F7449"/>
    <w:rsid w:val="00930CB6"/>
    <w:rsid w:val="009339BB"/>
    <w:rsid w:val="00936304"/>
    <w:rsid w:val="00973820"/>
    <w:rsid w:val="00976F54"/>
    <w:rsid w:val="00986702"/>
    <w:rsid w:val="009D3D3B"/>
    <w:rsid w:val="009D6BC2"/>
    <w:rsid w:val="00A60D8F"/>
    <w:rsid w:val="00A62B86"/>
    <w:rsid w:val="00A75D1C"/>
    <w:rsid w:val="00AD6528"/>
    <w:rsid w:val="00B0214E"/>
    <w:rsid w:val="00B548CB"/>
    <w:rsid w:val="00BB5A38"/>
    <w:rsid w:val="00BC7C0B"/>
    <w:rsid w:val="00BD6CBE"/>
    <w:rsid w:val="00BE2C85"/>
    <w:rsid w:val="00BE3367"/>
    <w:rsid w:val="00C04621"/>
    <w:rsid w:val="00C778DB"/>
    <w:rsid w:val="00CA5E92"/>
    <w:rsid w:val="00CC2CFB"/>
    <w:rsid w:val="00CE336A"/>
    <w:rsid w:val="00D03FD1"/>
    <w:rsid w:val="00D17338"/>
    <w:rsid w:val="00D76CCF"/>
    <w:rsid w:val="00DD792F"/>
    <w:rsid w:val="00E27D96"/>
    <w:rsid w:val="00E523AE"/>
    <w:rsid w:val="00F21C8F"/>
    <w:rsid w:val="00F37BE2"/>
    <w:rsid w:val="00F417F4"/>
    <w:rsid w:val="00F85CEF"/>
    <w:rsid w:val="00F938D7"/>
    <w:rsid w:val="00F94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5:chartTrackingRefBased/>
  <w15:docId w15:val="{18C1C325-D0D9-47A7-9FE3-F4508E48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79E"/>
    <w:pPr>
      <w:jc w:val="both"/>
    </w:pPr>
    <w:rPr>
      <w:sz w:val="22"/>
      <w:szCs w:val="22"/>
    </w:rPr>
  </w:style>
  <w:style w:type="paragraph" w:styleId="Heading5">
    <w:name w:val="heading 5"/>
    <w:basedOn w:val="Normal"/>
    <w:link w:val="Heading5Char"/>
    <w:qFormat/>
    <w:rsid w:val="00F938D7"/>
    <w:pPr>
      <w:spacing w:before="100" w:beforeAutospacing="1" w:after="100" w:afterAutospacing="1"/>
      <w:jc w:val="left"/>
      <w:outlineLvl w:val="4"/>
    </w:pPr>
    <w:rPr>
      <w:rFonts w:ascii="Times New Roman" w:eastAsia="Times New Roman" w:hAnsi="Times New Roman"/>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938D7"/>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F938D7"/>
    <w:rPr>
      <w:color w:val="0000FF"/>
      <w:u w:val="single"/>
    </w:rPr>
  </w:style>
  <w:style w:type="character" w:styleId="FollowedHyperlink">
    <w:name w:val="FollowedHyperlink"/>
    <w:basedOn w:val="DefaultParagraphFont"/>
    <w:uiPriority w:val="99"/>
    <w:semiHidden/>
    <w:unhideWhenUsed/>
    <w:rsid w:val="00F938D7"/>
    <w:rPr>
      <w:color w:val="800080"/>
      <w:u w:val="single"/>
    </w:rPr>
  </w:style>
  <w:style w:type="paragraph" w:customStyle="1" w:styleId="td">
    <w:name w:val="td"/>
    <w:basedOn w:val="Normal"/>
    <w:rsid w:val="00F938D7"/>
    <w:pPr>
      <w:spacing w:before="100" w:beforeAutospacing="1" w:after="100" w:afterAutospacing="1"/>
      <w:jc w:val="left"/>
    </w:pPr>
    <w:rPr>
      <w:rFonts w:ascii="Arial" w:eastAsia="Times New Roman" w:hAnsi="Arial" w:cs="Arial"/>
      <w:sz w:val="18"/>
      <w:szCs w:val="18"/>
    </w:rPr>
  </w:style>
  <w:style w:type="paragraph" w:customStyle="1" w:styleId="tr">
    <w:name w:val="tr"/>
    <w:basedOn w:val="Normal"/>
    <w:rsid w:val="00F938D7"/>
    <w:pPr>
      <w:spacing w:before="100" w:beforeAutospacing="1" w:after="100" w:afterAutospacing="1"/>
      <w:jc w:val="left"/>
    </w:pPr>
    <w:rPr>
      <w:rFonts w:ascii="Arial" w:eastAsia="Times New Roman" w:hAnsi="Arial" w:cs="Arial"/>
      <w:sz w:val="18"/>
      <w:szCs w:val="18"/>
    </w:rPr>
  </w:style>
  <w:style w:type="paragraph" w:customStyle="1" w:styleId="h1">
    <w:name w:val="h1"/>
    <w:basedOn w:val="Normal"/>
    <w:rsid w:val="00F938D7"/>
    <w:pPr>
      <w:spacing w:before="100" w:beforeAutospacing="1" w:after="100" w:afterAutospacing="1" w:line="360" w:lineRule="atLeast"/>
      <w:jc w:val="left"/>
    </w:pPr>
    <w:rPr>
      <w:rFonts w:ascii="Arial" w:eastAsia="Times New Roman" w:hAnsi="Arial" w:cs="Arial"/>
      <w:b/>
      <w:bCs/>
      <w:sz w:val="24"/>
      <w:szCs w:val="24"/>
    </w:rPr>
  </w:style>
  <w:style w:type="paragraph" w:customStyle="1" w:styleId="h2">
    <w:name w:val="h2"/>
    <w:basedOn w:val="Normal"/>
    <w:rsid w:val="00F938D7"/>
    <w:pPr>
      <w:spacing w:before="100" w:beforeAutospacing="1"/>
      <w:jc w:val="left"/>
    </w:pPr>
    <w:rPr>
      <w:rFonts w:ascii="Arial" w:eastAsia="Times New Roman" w:hAnsi="Arial" w:cs="Arial"/>
      <w:b/>
      <w:bCs/>
      <w:color w:val="000000"/>
      <w:sz w:val="21"/>
      <w:szCs w:val="21"/>
    </w:rPr>
  </w:style>
  <w:style w:type="paragraph" w:customStyle="1" w:styleId="h3">
    <w:name w:val="h3"/>
    <w:basedOn w:val="Normal"/>
    <w:rsid w:val="00F938D7"/>
    <w:pPr>
      <w:spacing w:before="100" w:beforeAutospacing="1"/>
      <w:jc w:val="left"/>
    </w:pPr>
    <w:rPr>
      <w:rFonts w:ascii="Arial" w:eastAsia="Times New Roman" w:hAnsi="Arial" w:cs="Arial"/>
      <w:b/>
      <w:bCs/>
      <w:sz w:val="18"/>
      <w:szCs w:val="18"/>
    </w:rPr>
  </w:style>
  <w:style w:type="paragraph" w:customStyle="1" w:styleId="Caption1">
    <w:name w:val="Caption1"/>
    <w:basedOn w:val="Normal"/>
    <w:rsid w:val="00F938D7"/>
    <w:pPr>
      <w:spacing w:before="100" w:beforeAutospacing="1"/>
      <w:jc w:val="left"/>
    </w:pPr>
    <w:rPr>
      <w:rFonts w:ascii="Arial" w:eastAsia="Times New Roman" w:hAnsi="Arial" w:cs="Arial"/>
      <w:b/>
      <w:bCs/>
      <w:sz w:val="18"/>
      <w:szCs w:val="18"/>
    </w:rPr>
  </w:style>
  <w:style w:type="paragraph" w:customStyle="1" w:styleId="Footer1">
    <w:name w:val="Footer1"/>
    <w:basedOn w:val="Normal"/>
    <w:rsid w:val="00F938D7"/>
    <w:pPr>
      <w:spacing w:before="100" w:beforeAutospacing="1" w:after="100" w:afterAutospacing="1"/>
      <w:jc w:val="center"/>
    </w:pPr>
    <w:rPr>
      <w:rFonts w:ascii="Arial" w:eastAsia="Times New Roman" w:hAnsi="Arial" w:cs="Arial"/>
      <w:sz w:val="15"/>
      <w:szCs w:val="15"/>
    </w:rPr>
  </w:style>
  <w:style w:type="paragraph" w:customStyle="1" w:styleId="top">
    <w:name w:val="top"/>
    <w:basedOn w:val="Normal"/>
    <w:rsid w:val="00F938D7"/>
    <w:pPr>
      <w:spacing w:before="100" w:beforeAutospacing="1" w:after="100" w:afterAutospacing="1"/>
      <w:jc w:val="right"/>
    </w:pPr>
    <w:rPr>
      <w:rFonts w:ascii="Arial" w:eastAsia="Times New Roman" w:hAnsi="Arial" w:cs="Arial"/>
      <w:sz w:val="15"/>
      <w:szCs w:val="15"/>
    </w:rPr>
  </w:style>
  <w:style w:type="paragraph" w:customStyle="1" w:styleId="tablespacing">
    <w:name w:val="tablespacing"/>
    <w:basedOn w:val="Normal"/>
    <w:rsid w:val="00F938D7"/>
    <w:pPr>
      <w:spacing w:before="100" w:beforeAutospacing="1" w:after="100" w:afterAutospacing="1"/>
      <w:jc w:val="left"/>
    </w:pPr>
    <w:rPr>
      <w:rFonts w:ascii="Times New Roman" w:eastAsia="Times New Roman" w:hAnsi="Times New Roman"/>
      <w:sz w:val="24"/>
      <w:szCs w:val="24"/>
    </w:rPr>
  </w:style>
  <w:style w:type="paragraph" w:customStyle="1" w:styleId="fontsmall">
    <w:name w:val="fontsmall"/>
    <w:basedOn w:val="Normal"/>
    <w:rsid w:val="00F938D7"/>
    <w:pPr>
      <w:spacing w:before="100" w:beforeAutospacing="1" w:after="100" w:afterAutospacing="1"/>
      <w:jc w:val="left"/>
    </w:pPr>
    <w:rPr>
      <w:rFonts w:ascii="Arial" w:eastAsia="Times New Roman" w:hAnsi="Arial" w:cs="Arial"/>
      <w:sz w:val="17"/>
      <w:szCs w:val="17"/>
    </w:rPr>
  </w:style>
  <w:style w:type="paragraph" w:customStyle="1" w:styleId="navigation">
    <w:name w:val="navigation"/>
    <w:basedOn w:val="Normal"/>
    <w:rsid w:val="00F938D7"/>
    <w:pPr>
      <w:spacing w:before="100" w:beforeAutospacing="1" w:after="100" w:afterAutospacing="1"/>
      <w:jc w:val="left"/>
    </w:pPr>
    <w:rPr>
      <w:rFonts w:ascii="Arial" w:eastAsia="Times New Roman" w:hAnsi="Arial" w:cs="Arial"/>
      <w:sz w:val="15"/>
      <w:szCs w:val="15"/>
    </w:rPr>
  </w:style>
  <w:style w:type="paragraph" w:customStyle="1" w:styleId="invisiblelink">
    <w:name w:val="invisiblelink"/>
    <w:basedOn w:val="Normal"/>
    <w:rsid w:val="00F938D7"/>
    <w:pPr>
      <w:spacing w:before="100" w:beforeAutospacing="1" w:after="100" w:afterAutospacing="1"/>
      <w:jc w:val="left"/>
    </w:pPr>
    <w:rPr>
      <w:rFonts w:ascii="Arial" w:eastAsia="Times New Roman" w:hAnsi="Arial" w:cs="Arial"/>
      <w:color w:val="FFFFFF"/>
      <w:sz w:val="15"/>
      <w:szCs w:val="15"/>
    </w:rPr>
  </w:style>
  <w:style w:type="paragraph" w:customStyle="1" w:styleId="toplogo">
    <w:name w:val="toplogo"/>
    <w:basedOn w:val="Normal"/>
    <w:rsid w:val="00F938D7"/>
    <w:pPr>
      <w:spacing w:before="100" w:beforeAutospacing="1"/>
      <w:jc w:val="left"/>
    </w:pPr>
    <w:rPr>
      <w:rFonts w:ascii="Arial" w:eastAsia="Times New Roman" w:hAnsi="Arial" w:cs="Arial"/>
      <w:b/>
      <w:bCs/>
      <w:sz w:val="21"/>
      <w:szCs w:val="21"/>
    </w:rPr>
  </w:style>
  <w:style w:type="paragraph" w:customStyle="1" w:styleId="search">
    <w:name w:val="search"/>
    <w:basedOn w:val="Normal"/>
    <w:rsid w:val="00F938D7"/>
    <w:pPr>
      <w:spacing w:before="100" w:beforeAutospacing="1" w:after="100" w:afterAutospacing="1"/>
      <w:jc w:val="left"/>
    </w:pPr>
    <w:rPr>
      <w:rFonts w:ascii="Arial" w:eastAsia="Times New Roman" w:hAnsi="Arial" w:cs="Arial"/>
      <w:sz w:val="15"/>
      <w:szCs w:val="15"/>
    </w:rPr>
  </w:style>
  <w:style w:type="paragraph" w:customStyle="1" w:styleId="side">
    <w:name w:val="side"/>
    <w:basedOn w:val="Normal"/>
    <w:rsid w:val="00F938D7"/>
    <w:pPr>
      <w:spacing w:before="100" w:beforeAutospacing="1" w:after="100" w:afterAutospacing="1"/>
      <w:jc w:val="left"/>
    </w:pPr>
    <w:rPr>
      <w:rFonts w:ascii="Arial" w:eastAsia="Times New Roman" w:hAnsi="Arial" w:cs="Arial"/>
      <w:sz w:val="18"/>
      <w:szCs w:val="18"/>
    </w:rPr>
  </w:style>
  <w:style w:type="paragraph" w:customStyle="1" w:styleId="subparagraph">
    <w:name w:val="subparagraph"/>
    <w:basedOn w:val="Normal"/>
    <w:rsid w:val="00F938D7"/>
    <w:pPr>
      <w:spacing w:before="100" w:beforeAutospacing="1" w:after="100" w:afterAutospacing="1"/>
      <w:jc w:val="left"/>
    </w:pPr>
    <w:rPr>
      <w:rFonts w:ascii="Arial" w:eastAsia="Times New Roman" w:hAnsi="Arial" w:cs="Arial"/>
      <w:sz w:val="18"/>
      <w:szCs w:val="18"/>
    </w:rPr>
  </w:style>
  <w:style w:type="paragraph" w:customStyle="1" w:styleId="head">
    <w:name w:val="head"/>
    <w:basedOn w:val="Normal"/>
    <w:rsid w:val="00F938D7"/>
    <w:pPr>
      <w:spacing w:before="100" w:beforeAutospacing="1" w:after="100" w:afterAutospacing="1"/>
      <w:jc w:val="left"/>
    </w:pPr>
    <w:rPr>
      <w:rFonts w:ascii="Arial" w:eastAsia="Times New Roman" w:hAnsi="Arial" w:cs="Arial"/>
      <w:b/>
      <w:bCs/>
      <w:sz w:val="27"/>
      <w:szCs w:val="27"/>
    </w:rPr>
  </w:style>
  <w:style w:type="paragraph" w:customStyle="1" w:styleId="recentupdateslink">
    <w:name w:val="recentupdateslink"/>
    <w:basedOn w:val="Normal"/>
    <w:rsid w:val="00F938D7"/>
    <w:pPr>
      <w:spacing w:before="100" w:beforeAutospacing="1" w:after="100" w:afterAutospacing="1"/>
      <w:jc w:val="left"/>
    </w:pPr>
    <w:rPr>
      <w:rFonts w:ascii="Arial" w:eastAsia="Times New Roman" w:hAnsi="Arial" w:cs="Arial"/>
      <w:b/>
      <w:bCs/>
      <w:sz w:val="18"/>
      <w:szCs w:val="18"/>
    </w:rPr>
  </w:style>
  <w:style w:type="paragraph" w:customStyle="1" w:styleId="updatetitle">
    <w:name w:val="updatetitle"/>
    <w:basedOn w:val="Normal"/>
    <w:rsid w:val="00F938D7"/>
    <w:pPr>
      <w:spacing w:before="100" w:beforeAutospacing="1" w:after="100" w:afterAutospacing="1"/>
      <w:ind w:firstLine="100"/>
      <w:jc w:val="left"/>
    </w:pPr>
    <w:rPr>
      <w:rFonts w:ascii="Arial" w:eastAsia="Times New Roman" w:hAnsi="Arial" w:cs="Arial"/>
      <w:b/>
      <w:bCs/>
      <w:color w:val="FF0000"/>
      <w:sz w:val="21"/>
      <w:szCs w:val="21"/>
    </w:rPr>
  </w:style>
  <w:style w:type="paragraph" w:customStyle="1" w:styleId="updatebodytest">
    <w:name w:val="updatebodytest"/>
    <w:basedOn w:val="Normal"/>
    <w:rsid w:val="00F938D7"/>
    <w:pPr>
      <w:spacing w:before="100" w:beforeAutospacing="1" w:after="100" w:afterAutospacing="1"/>
      <w:jc w:val="left"/>
    </w:pPr>
    <w:rPr>
      <w:rFonts w:ascii="Arial" w:eastAsia="Times New Roman" w:hAnsi="Arial" w:cs="Arial"/>
      <w:sz w:val="18"/>
      <w:szCs w:val="18"/>
    </w:rPr>
  </w:style>
  <w:style w:type="paragraph" w:customStyle="1" w:styleId="updatebold">
    <w:name w:val="updatebold"/>
    <w:basedOn w:val="Normal"/>
    <w:rsid w:val="00F938D7"/>
    <w:pPr>
      <w:spacing w:before="100" w:beforeAutospacing="1" w:after="100" w:afterAutospacing="1"/>
      <w:jc w:val="left"/>
    </w:pPr>
    <w:rPr>
      <w:rFonts w:ascii="Arial" w:eastAsia="Times New Roman" w:hAnsi="Arial" w:cs="Arial"/>
      <w:b/>
      <w:bCs/>
      <w:sz w:val="18"/>
      <w:szCs w:val="18"/>
    </w:rPr>
  </w:style>
  <w:style w:type="paragraph" w:customStyle="1" w:styleId="body">
    <w:name w:val="body"/>
    <w:basedOn w:val="Normal"/>
    <w:rsid w:val="00F938D7"/>
    <w:pPr>
      <w:shd w:val="clear" w:color="auto" w:fill="FFFFFF"/>
      <w:spacing w:before="100" w:beforeAutospacing="1" w:after="100" w:afterAutospacing="1"/>
      <w:jc w:val="left"/>
    </w:pPr>
    <w:rPr>
      <w:rFonts w:ascii="Arial" w:eastAsia="Times New Roman" w:hAnsi="Arial" w:cs="Arial"/>
      <w:color w:val="000000"/>
      <w:sz w:val="24"/>
      <w:szCs w:val="24"/>
    </w:rPr>
  </w:style>
  <w:style w:type="paragraph" w:customStyle="1" w:styleId="a">
    <w:name w:val="a"/>
    <w:basedOn w:val="Normal"/>
    <w:rsid w:val="00F938D7"/>
    <w:pPr>
      <w:spacing w:before="100" w:beforeAutospacing="1" w:after="100" w:afterAutospacing="1"/>
      <w:jc w:val="left"/>
    </w:pPr>
    <w:rPr>
      <w:rFonts w:ascii="Times New Roman" w:eastAsia="Times New Roman" w:hAnsi="Times New Roman"/>
      <w:sz w:val="24"/>
      <w:szCs w:val="24"/>
      <w:u w:val="single"/>
    </w:rPr>
  </w:style>
  <w:style w:type="paragraph" w:customStyle="1" w:styleId="p">
    <w:name w:val="p"/>
    <w:basedOn w:val="Normal"/>
    <w:rsid w:val="00F938D7"/>
    <w:pPr>
      <w:spacing w:before="100" w:beforeAutospacing="1" w:after="100" w:afterAutospacing="1"/>
      <w:jc w:val="center"/>
    </w:pPr>
    <w:rPr>
      <w:rFonts w:ascii="Arial" w:eastAsia="Times New Roman" w:hAnsi="Arial" w:cs="Arial"/>
      <w:sz w:val="24"/>
      <w:szCs w:val="24"/>
    </w:rPr>
  </w:style>
  <w:style w:type="paragraph" w:customStyle="1" w:styleId="title">
    <w:name w:val="title"/>
    <w:basedOn w:val="Normal"/>
    <w:rsid w:val="00F938D7"/>
    <w:pPr>
      <w:spacing w:before="100" w:beforeAutospacing="1" w:after="100" w:afterAutospacing="1"/>
      <w:jc w:val="left"/>
    </w:pPr>
    <w:rPr>
      <w:rFonts w:ascii="Arial" w:eastAsia="Times New Roman" w:hAnsi="Arial" w:cs="Arial"/>
      <w:b/>
      <w:bCs/>
      <w:sz w:val="30"/>
      <w:szCs w:val="30"/>
    </w:rPr>
  </w:style>
  <w:style w:type="paragraph" w:customStyle="1" w:styleId="subtitle">
    <w:name w:val="subtitle"/>
    <w:basedOn w:val="Normal"/>
    <w:rsid w:val="00F938D7"/>
    <w:pPr>
      <w:spacing w:before="100" w:beforeAutospacing="1" w:after="100" w:afterAutospacing="1"/>
      <w:jc w:val="left"/>
    </w:pPr>
    <w:rPr>
      <w:rFonts w:ascii="Arial" w:eastAsia="Times New Roman" w:hAnsi="Arial" w:cs="Arial"/>
      <w:b/>
      <w:bCs/>
      <w:sz w:val="21"/>
      <w:szCs w:val="21"/>
    </w:rPr>
  </w:style>
  <w:style w:type="paragraph" w:customStyle="1" w:styleId="mainheader">
    <w:name w:val="mainheader"/>
    <w:basedOn w:val="Normal"/>
    <w:rsid w:val="00F938D7"/>
    <w:pPr>
      <w:spacing w:before="100" w:beforeAutospacing="1" w:after="100" w:afterAutospacing="1"/>
      <w:jc w:val="left"/>
    </w:pPr>
    <w:rPr>
      <w:rFonts w:ascii="Times New Roman" w:eastAsia="Times New Roman" w:hAnsi="Times New Roman"/>
      <w:b/>
      <w:bCs/>
      <w:sz w:val="31"/>
      <w:szCs w:val="31"/>
    </w:rPr>
  </w:style>
  <w:style w:type="paragraph" w:customStyle="1" w:styleId="chapter">
    <w:name w:val="chapter"/>
    <w:basedOn w:val="Normal"/>
    <w:rsid w:val="00F938D7"/>
    <w:pPr>
      <w:spacing w:before="100" w:beforeAutospacing="1" w:after="100" w:afterAutospacing="1"/>
      <w:jc w:val="left"/>
    </w:pPr>
    <w:rPr>
      <w:rFonts w:ascii="Arial" w:eastAsia="Times New Roman" w:hAnsi="Arial" w:cs="Arial"/>
      <w:b/>
      <w:bCs/>
      <w:sz w:val="24"/>
      <w:szCs w:val="24"/>
    </w:rPr>
  </w:style>
  <w:style w:type="paragraph" w:customStyle="1" w:styleId="subchapter">
    <w:name w:val="subchapter"/>
    <w:basedOn w:val="Normal"/>
    <w:rsid w:val="00F938D7"/>
    <w:pPr>
      <w:spacing w:before="100" w:beforeAutospacing="1" w:after="100" w:afterAutospacing="1"/>
      <w:jc w:val="left"/>
    </w:pPr>
    <w:rPr>
      <w:rFonts w:ascii="Arial" w:eastAsia="Times New Roman" w:hAnsi="Arial" w:cs="Arial"/>
      <w:b/>
      <w:bCs/>
      <w:sz w:val="21"/>
      <w:szCs w:val="21"/>
    </w:rPr>
  </w:style>
  <w:style w:type="paragraph" w:customStyle="1" w:styleId="part">
    <w:name w:val="part"/>
    <w:basedOn w:val="Normal"/>
    <w:rsid w:val="00F938D7"/>
    <w:pPr>
      <w:spacing w:before="100" w:beforeAutospacing="1" w:after="100" w:afterAutospacing="1"/>
      <w:jc w:val="left"/>
    </w:pPr>
    <w:rPr>
      <w:rFonts w:ascii="Times New Roman" w:eastAsia="Times New Roman" w:hAnsi="Times New Roman"/>
      <w:b/>
      <w:bCs/>
      <w:sz w:val="24"/>
      <w:szCs w:val="24"/>
    </w:rPr>
  </w:style>
  <w:style w:type="paragraph" w:customStyle="1" w:styleId="subpart">
    <w:name w:val="subpart"/>
    <w:basedOn w:val="Normal"/>
    <w:rsid w:val="00F938D7"/>
    <w:pPr>
      <w:shd w:val="clear" w:color="auto" w:fill="FFFFFF"/>
      <w:spacing w:before="100" w:beforeAutospacing="1" w:after="100" w:afterAutospacing="1"/>
      <w:jc w:val="left"/>
    </w:pPr>
    <w:rPr>
      <w:rFonts w:ascii="Times New Roman" w:eastAsia="Times New Roman" w:hAnsi="Times New Roman"/>
      <w:color w:val="0000FF"/>
    </w:rPr>
  </w:style>
  <w:style w:type="paragraph" w:customStyle="1" w:styleId="nopart">
    <w:name w:val="nopart"/>
    <w:basedOn w:val="Normal"/>
    <w:rsid w:val="00F938D7"/>
    <w:pPr>
      <w:shd w:val="clear" w:color="auto" w:fill="FFFFFF"/>
      <w:spacing w:before="100" w:beforeAutospacing="1" w:after="100" w:afterAutospacing="1"/>
      <w:jc w:val="left"/>
    </w:pPr>
    <w:rPr>
      <w:rFonts w:ascii="Times New Roman" w:eastAsia="Times New Roman" w:hAnsi="Times New Roman"/>
      <w:color w:val="008000"/>
      <w:sz w:val="24"/>
      <w:szCs w:val="24"/>
    </w:rPr>
  </w:style>
  <w:style w:type="paragraph" w:customStyle="1" w:styleId="reserved">
    <w:name w:val="reserved"/>
    <w:basedOn w:val="Normal"/>
    <w:rsid w:val="00F938D7"/>
    <w:pPr>
      <w:shd w:val="clear" w:color="auto" w:fill="FFFFFF"/>
      <w:spacing w:before="100" w:beforeAutospacing="1" w:after="100" w:afterAutospacing="1"/>
      <w:jc w:val="left"/>
    </w:pPr>
    <w:rPr>
      <w:rFonts w:ascii="Times New Roman" w:eastAsia="Times New Roman" w:hAnsi="Times New Roman"/>
      <w:color w:val="FF0000"/>
      <w:sz w:val="24"/>
      <w:szCs w:val="24"/>
    </w:rPr>
  </w:style>
  <w:style w:type="paragraph" w:customStyle="1" w:styleId="menu">
    <w:name w:val="menu"/>
    <w:basedOn w:val="Normal"/>
    <w:rsid w:val="00F938D7"/>
    <w:pPr>
      <w:spacing w:before="100" w:beforeAutospacing="1" w:after="100" w:afterAutospacing="1"/>
      <w:jc w:val="left"/>
    </w:pPr>
    <w:rPr>
      <w:rFonts w:ascii="Arial" w:eastAsia="Times New Roman" w:hAnsi="Arial" w:cs="Arial"/>
      <w:sz w:val="18"/>
      <w:szCs w:val="18"/>
    </w:rPr>
  </w:style>
  <w:style w:type="paragraph" w:customStyle="1" w:styleId="hilite">
    <w:name w:val="hilite"/>
    <w:basedOn w:val="Normal"/>
    <w:rsid w:val="00F938D7"/>
    <w:pPr>
      <w:spacing w:before="100" w:beforeAutospacing="1" w:after="100" w:afterAutospacing="1"/>
      <w:jc w:val="left"/>
    </w:pPr>
    <w:rPr>
      <w:rFonts w:ascii="Times New Roman" w:eastAsia="Times New Roman" w:hAnsi="Times New Roman"/>
      <w:b/>
      <w:bCs/>
      <w:color w:val="CC0000"/>
      <w:sz w:val="24"/>
      <w:szCs w:val="24"/>
    </w:rPr>
  </w:style>
  <w:style w:type="paragraph" w:customStyle="1" w:styleId="gpotblhang">
    <w:name w:val="gpotbl_hang"/>
    <w:basedOn w:val="Normal"/>
    <w:rsid w:val="00F938D7"/>
    <w:pPr>
      <w:spacing w:before="100" w:beforeAutospacing="1" w:after="100" w:afterAutospacing="1"/>
      <w:ind w:hanging="480"/>
      <w:jc w:val="left"/>
    </w:pPr>
    <w:rPr>
      <w:rFonts w:ascii="Times New Roman" w:eastAsia="Times New Roman" w:hAnsi="Times New Roman"/>
      <w:sz w:val="24"/>
      <w:szCs w:val="24"/>
    </w:rPr>
  </w:style>
  <w:style w:type="paragraph" w:customStyle="1" w:styleId="gpotbltable">
    <w:name w:val="gpotbl_table"/>
    <w:basedOn w:val="Normal"/>
    <w:rsid w:val="00F938D7"/>
    <w:pPr>
      <w:spacing w:before="100" w:beforeAutospacing="1" w:after="100" w:afterAutospacing="1"/>
      <w:jc w:val="left"/>
    </w:pPr>
    <w:rPr>
      <w:rFonts w:ascii="Times New Roman" w:eastAsia="Times New Roman" w:hAnsi="Times New Roman"/>
      <w:sz w:val="24"/>
      <w:szCs w:val="24"/>
    </w:rPr>
  </w:style>
  <w:style w:type="paragraph" w:customStyle="1" w:styleId="gpotbldiv">
    <w:name w:val="gpotbl_div"/>
    <w:basedOn w:val="Normal"/>
    <w:rsid w:val="00F938D7"/>
    <w:pPr>
      <w:pBdr>
        <w:top w:val="single" w:sz="12" w:space="0" w:color="000000"/>
        <w:left w:val="single" w:sz="12" w:space="0" w:color="000000"/>
        <w:bottom w:val="single" w:sz="12" w:space="0" w:color="000000"/>
        <w:right w:val="single" w:sz="12" w:space="0" w:color="000000"/>
      </w:pBdr>
      <w:spacing w:before="100" w:beforeAutospacing="1" w:after="100" w:afterAutospacing="1"/>
      <w:jc w:val="left"/>
    </w:pPr>
    <w:rPr>
      <w:rFonts w:ascii="Times New Roman" w:eastAsia="Times New Roman" w:hAnsi="Times New Roman"/>
      <w:sz w:val="24"/>
      <w:szCs w:val="24"/>
    </w:rPr>
  </w:style>
  <w:style w:type="paragraph" w:customStyle="1" w:styleId="gpotbltitle">
    <w:name w:val="gpotbl_title"/>
    <w:basedOn w:val="Normal"/>
    <w:rsid w:val="00F938D7"/>
    <w:pPr>
      <w:spacing w:before="100" w:beforeAutospacing="1" w:after="100" w:afterAutospacing="1"/>
      <w:jc w:val="center"/>
    </w:pPr>
    <w:rPr>
      <w:rFonts w:ascii="Times New Roman" w:eastAsia="Times New Roman" w:hAnsi="Times New Roman"/>
      <w:b/>
      <w:bCs/>
      <w:sz w:val="24"/>
      <w:szCs w:val="24"/>
    </w:rPr>
  </w:style>
  <w:style w:type="paragraph" w:customStyle="1" w:styleId="gpotbldescription">
    <w:name w:val="gpotbl_description"/>
    <w:basedOn w:val="Normal"/>
    <w:rsid w:val="00F938D7"/>
    <w:pPr>
      <w:spacing w:before="100" w:beforeAutospacing="1" w:after="100" w:afterAutospacing="1"/>
      <w:jc w:val="center"/>
    </w:pPr>
    <w:rPr>
      <w:rFonts w:ascii="Times New Roman" w:eastAsia="Times New Roman" w:hAnsi="Times New Roman"/>
      <w:sz w:val="24"/>
      <w:szCs w:val="24"/>
    </w:rPr>
  </w:style>
  <w:style w:type="paragraph" w:customStyle="1" w:styleId="gpotblcell">
    <w:name w:val="gpotbl_cell"/>
    <w:basedOn w:val="Normal"/>
    <w:rsid w:val="00F938D7"/>
    <w:pPr>
      <w:pBdr>
        <w:top w:val="single" w:sz="6" w:space="0" w:color="000000"/>
        <w:left w:val="single" w:sz="6" w:space="0" w:color="000000"/>
        <w:bottom w:val="single" w:sz="6" w:space="0" w:color="000000"/>
        <w:right w:val="single" w:sz="6" w:space="0" w:color="000000"/>
      </w:pBdr>
      <w:spacing w:before="100" w:beforeAutospacing="1" w:after="100" w:afterAutospacing="1"/>
      <w:jc w:val="left"/>
      <w:textAlignment w:val="top"/>
    </w:pPr>
    <w:rPr>
      <w:rFonts w:ascii="Times New Roman" w:eastAsia="Times New Roman" w:hAnsi="Times New Roman"/>
      <w:sz w:val="24"/>
      <w:szCs w:val="24"/>
    </w:rPr>
  </w:style>
  <w:style w:type="paragraph" w:customStyle="1" w:styleId="gpotblcolhed">
    <w:name w:val="gpotbl_colhed"/>
    <w:basedOn w:val="Normal"/>
    <w:rsid w:val="00F938D7"/>
    <w:pPr>
      <w:pBdr>
        <w:top w:val="single" w:sz="6" w:space="0" w:color="000000"/>
        <w:left w:val="single" w:sz="6" w:space="0" w:color="000000"/>
        <w:bottom w:val="single" w:sz="6" w:space="0" w:color="000000"/>
        <w:right w:val="single" w:sz="6" w:space="0" w:color="000000"/>
      </w:pBdr>
      <w:spacing w:before="100" w:beforeAutospacing="1" w:after="100" w:afterAutospacing="1"/>
      <w:jc w:val="left"/>
      <w:textAlignment w:val="bottom"/>
    </w:pPr>
    <w:rPr>
      <w:rFonts w:ascii="Times New Roman" w:eastAsia="Times New Roman" w:hAnsi="Times New Roman"/>
      <w:sz w:val="24"/>
      <w:szCs w:val="24"/>
    </w:rPr>
  </w:style>
  <w:style w:type="paragraph" w:customStyle="1" w:styleId="white">
    <w:name w:val="white"/>
    <w:basedOn w:val="Normal"/>
    <w:rsid w:val="00F938D7"/>
    <w:pPr>
      <w:jc w:val="left"/>
    </w:pPr>
    <w:rPr>
      <w:rFonts w:ascii="Times New Roman" w:eastAsia="Times New Roman" w:hAnsi="Times New Roman"/>
      <w:color w:val="FFFFFF"/>
      <w:sz w:val="24"/>
      <w:szCs w:val="24"/>
    </w:rPr>
  </w:style>
  <w:style w:type="paragraph" w:styleId="NormalWeb">
    <w:name w:val="Normal (Web)"/>
    <w:basedOn w:val="Normal"/>
    <w:unhideWhenUsed/>
    <w:rsid w:val="00F938D7"/>
    <w:pPr>
      <w:spacing w:before="100" w:beforeAutospacing="1" w:after="100" w:afterAutospacing="1"/>
      <w:jc w:val="left"/>
    </w:pPr>
    <w:rPr>
      <w:rFonts w:ascii="Times New Roman" w:eastAsia="Times New Roman" w:hAnsi="Times New Roman"/>
      <w:sz w:val="24"/>
      <w:szCs w:val="24"/>
    </w:rPr>
  </w:style>
  <w:style w:type="character" w:customStyle="1" w:styleId="updatebodytest1">
    <w:name w:val="updatebodytest1"/>
    <w:basedOn w:val="DefaultParagraphFont"/>
    <w:rsid w:val="00F938D7"/>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F938D7"/>
    <w:rPr>
      <w:b/>
      <w:bCs/>
    </w:rPr>
  </w:style>
  <w:style w:type="character" w:customStyle="1" w:styleId="mainheader1">
    <w:name w:val="mainheader1"/>
    <w:basedOn w:val="DefaultParagraphFont"/>
    <w:rsid w:val="00F938D7"/>
    <w:rPr>
      <w:b/>
      <w:bCs/>
      <w:sz w:val="31"/>
      <w:szCs w:val="31"/>
    </w:rPr>
  </w:style>
  <w:style w:type="character" w:customStyle="1" w:styleId="div5head">
    <w:name w:val="div5head"/>
    <w:basedOn w:val="DefaultParagraphFont"/>
    <w:rsid w:val="00F938D7"/>
  </w:style>
  <w:style w:type="paragraph" w:customStyle="1" w:styleId="gpotblnote">
    <w:name w:val="gpotbl_note"/>
    <w:basedOn w:val="Normal"/>
    <w:rsid w:val="00F938D7"/>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F938D7"/>
    <w:rPr>
      <w:rFonts w:ascii="Tahoma" w:hAnsi="Tahoma" w:cs="Tahoma"/>
      <w:sz w:val="16"/>
      <w:szCs w:val="16"/>
    </w:rPr>
  </w:style>
  <w:style w:type="character" w:customStyle="1" w:styleId="BalloonTextChar">
    <w:name w:val="Balloon Text Char"/>
    <w:basedOn w:val="DefaultParagraphFont"/>
    <w:link w:val="BalloonText"/>
    <w:uiPriority w:val="99"/>
    <w:semiHidden/>
    <w:rsid w:val="00F938D7"/>
    <w:rPr>
      <w:rFonts w:ascii="Tahoma" w:hAnsi="Tahoma" w:cs="Tahoma"/>
      <w:sz w:val="16"/>
      <w:szCs w:val="16"/>
    </w:rPr>
  </w:style>
  <w:style w:type="paragraph" w:styleId="Header">
    <w:name w:val="header"/>
    <w:basedOn w:val="Normal"/>
    <w:link w:val="HeaderChar"/>
    <w:uiPriority w:val="99"/>
    <w:unhideWhenUsed/>
    <w:rsid w:val="001E72A0"/>
    <w:pPr>
      <w:tabs>
        <w:tab w:val="center" w:pos="4680"/>
        <w:tab w:val="right" w:pos="9360"/>
      </w:tabs>
    </w:pPr>
  </w:style>
  <w:style w:type="character" w:customStyle="1" w:styleId="HeaderChar">
    <w:name w:val="Header Char"/>
    <w:basedOn w:val="DefaultParagraphFont"/>
    <w:link w:val="Header"/>
    <w:uiPriority w:val="99"/>
    <w:rsid w:val="001E72A0"/>
    <w:rPr>
      <w:sz w:val="22"/>
      <w:szCs w:val="22"/>
    </w:rPr>
  </w:style>
  <w:style w:type="paragraph" w:styleId="Footer">
    <w:name w:val="footer"/>
    <w:basedOn w:val="Normal"/>
    <w:link w:val="FooterChar"/>
    <w:uiPriority w:val="99"/>
    <w:unhideWhenUsed/>
    <w:rsid w:val="001E72A0"/>
    <w:pPr>
      <w:tabs>
        <w:tab w:val="center" w:pos="4680"/>
        <w:tab w:val="right" w:pos="9360"/>
      </w:tabs>
    </w:pPr>
  </w:style>
  <w:style w:type="character" w:customStyle="1" w:styleId="FooterChar">
    <w:name w:val="Footer Char"/>
    <w:basedOn w:val="DefaultParagraphFont"/>
    <w:link w:val="Footer"/>
    <w:uiPriority w:val="99"/>
    <w:rsid w:val="001E72A0"/>
    <w:rPr>
      <w:sz w:val="22"/>
      <w:szCs w:val="22"/>
    </w:rPr>
  </w:style>
  <w:style w:type="paragraph" w:styleId="BodyTextIndent">
    <w:name w:val="Body Text Indent"/>
    <w:basedOn w:val="Normal"/>
    <w:link w:val="BodyTextIndentChar"/>
    <w:semiHidden/>
    <w:rsid w:val="00BE2C85"/>
    <w:pPr>
      <w:spacing w:after="120"/>
      <w:ind w:left="1440"/>
    </w:pPr>
    <w:rPr>
      <w:rFonts w:ascii="Times New Roman" w:eastAsia="Times New Roman" w:hAnsi="Times New Roman"/>
      <w:szCs w:val="20"/>
    </w:rPr>
  </w:style>
  <w:style w:type="character" w:customStyle="1" w:styleId="BodyTextIndentChar">
    <w:name w:val="Body Text Indent Char"/>
    <w:basedOn w:val="DefaultParagraphFont"/>
    <w:link w:val="BodyTextIndent"/>
    <w:semiHidden/>
    <w:rsid w:val="00BE2C85"/>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698391">
      <w:bodyDiv w:val="1"/>
      <w:marLeft w:val="0"/>
      <w:marRight w:val="0"/>
      <w:marTop w:val="0"/>
      <w:marBottom w:val="0"/>
      <w:divBdr>
        <w:top w:val="none" w:sz="0" w:space="0" w:color="auto"/>
        <w:left w:val="none" w:sz="0" w:space="0" w:color="auto"/>
        <w:bottom w:val="none" w:sz="0" w:space="0" w:color="auto"/>
        <w:right w:val="none" w:sz="0" w:space="0" w:color="auto"/>
      </w:divBdr>
      <w:divsChild>
        <w:div w:id="786049812">
          <w:marLeft w:val="0"/>
          <w:marRight w:val="0"/>
          <w:marTop w:val="0"/>
          <w:marBottom w:val="0"/>
          <w:divBdr>
            <w:top w:val="none" w:sz="0" w:space="0" w:color="auto"/>
            <w:left w:val="none" w:sz="0" w:space="0" w:color="auto"/>
            <w:bottom w:val="none" w:sz="0" w:space="0" w:color="auto"/>
            <w:right w:val="none" w:sz="0" w:space="0" w:color="auto"/>
          </w:divBdr>
          <w:divsChild>
            <w:div w:id="1320306414">
              <w:marLeft w:val="0"/>
              <w:marRight w:val="0"/>
              <w:marTop w:val="0"/>
              <w:marBottom w:val="0"/>
              <w:divBdr>
                <w:top w:val="none" w:sz="0" w:space="0" w:color="auto"/>
                <w:left w:val="none" w:sz="0" w:space="0" w:color="auto"/>
                <w:bottom w:val="none" w:sz="0" w:space="0" w:color="auto"/>
                <w:right w:val="none" w:sz="0" w:space="0" w:color="auto"/>
              </w:divBdr>
            </w:div>
            <w:div w:id="1469322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be7bbd18ada97f4052e3494dc1a1d904&amp;node=40:9.0.1.1.1.3&amp;rgn=div6"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cfr.gov/cgi-bin/text-idx?SID=be7bbd18ada97f4052e3494dc1a1d904&amp;node=40:9.0.1.1.1.3&amp;rgn=div6"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text-idx?SID=be7bbd18ada97f4052e3494dc1a1d904&amp;node=40:9.0.1.1.1.3&amp;rgn=div6"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ecfr.gov/cgi-bin/text-idx?SID=be7bbd18ada97f4052e3494dc1a1d904&amp;node=40:9.0.1.1.1.3&amp;rgn=div6" TargetMode="External"/><Relationship Id="rId4" Type="http://schemas.openxmlformats.org/officeDocument/2006/relationships/footnotes" Target="footnotes.xml"/><Relationship Id="rId9" Type="http://schemas.openxmlformats.org/officeDocument/2006/relationships/hyperlink" Target="http://www.ecfr.gov/cgi-bin/text-idx?SID=be7bbd18ada97f4052e3494dc1a1d904&amp;node=40:9.0.1.1.1.3&amp;rgn=div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SWD_FDEP</Company>
  <LinksUpToDate>false</LinksUpToDate>
  <CharactersWithSpaces>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haines_c</dc:creator>
  <cp:keywords/>
  <dc:description/>
  <cp:lastModifiedBy>Noor, Quaid</cp:lastModifiedBy>
  <cp:revision>2</cp:revision>
  <cp:lastPrinted>2011-05-25T12:44:00Z</cp:lastPrinted>
  <dcterms:created xsi:type="dcterms:W3CDTF">2014-04-30T13:04:00Z</dcterms:created>
  <dcterms:modified xsi:type="dcterms:W3CDTF">2014-04-30T13:04:00Z</dcterms:modified>
</cp:coreProperties>
</file>